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DD8E" w14:textId="77777777" w:rsidR="00876B51" w:rsidRPr="00876B51" w:rsidRDefault="00876B51" w:rsidP="00876B51">
      <w:pPr>
        <w:shd w:val="clear" w:color="auto" w:fill="FFFFFF"/>
        <w:spacing w:line="240" w:lineRule="auto"/>
        <w:outlineLvl w:val="0"/>
        <w:rPr>
          <w:rFonts w:ascii="Open Sans" w:eastAsia="Times New Roman" w:hAnsi="Open Sans" w:cs="Open Sans"/>
          <w:b/>
          <w:bCs/>
          <w:color w:val="1B1B1B"/>
          <w:kern w:val="36"/>
          <w:sz w:val="48"/>
          <w:szCs w:val="48"/>
          <w:lang w:eastAsia="cs-CZ"/>
        </w:rPr>
      </w:pPr>
      <w:r w:rsidRPr="00876B51">
        <w:rPr>
          <w:rFonts w:ascii="Open Sans" w:eastAsia="Times New Roman" w:hAnsi="Open Sans" w:cs="Open Sans"/>
          <w:b/>
          <w:bCs/>
          <w:color w:val="1B1B1B"/>
          <w:kern w:val="36"/>
          <w:sz w:val="48"/>
          <w:szCs w:val="48"/>
          <w:lang w:eastAsia="cs-CZ"/>
        </w:rPr>
        <w:t>Trend-</w:t>
      </w:r>
      <w:proofErr w:type="spellStart"/>
      <w:r w:rsidRPr="00876B51">
        <w:rPr>
          <w:rFonts w:ascii="Open Sans" w:eastAsia="Times New Roman" w:hAnsi="Open Sans" w:cs="Open Sans"/>
          <w:b/>
          <w:bCs/>
          <w:color w:val="1B1B1B"/>
          <w:kern w:val="36"/>
          <w:sz w:val="48"/>
          <w:szCs w:val="48"/>
          <w:lang w:eastAsia="cs-CZ"/>
        </w:rPr>
        <w:t>setter</w:t>
      </w:r>
      <w:proofErr w:type="spellEnd"/>
      <w:r w:rsidRPr="00876B51">
        <w:rPr>
          <w:rFonts w:ascii="Open Sans" w:eastAsia="Times New Roman" w:hAnsi="Open Sans" w:cs="Open Sans"/>
          <w:b/>
          <w:bCs/>
          <w:color w:val="1B1B1B"/>
          <w:kern w:val="36"/>
          <w:sz w:val="48"/>
          <w:szCs w:val="48"/>
          <w:lang w:eastAsia="cs-CZ"/>
        </w:rPr>
        <w:t xml:space="preserve">. Příběh Subaru </w:t>
      </w:r>
      <w:proofErr w:type="spellStart"/>
      <w:r w:rsidRPr="00876B51">
        <w:rPr>
          <w:rFonts w:ascii="Open Sans" w:eastAsia="Times New Roman" w:hAnsi="Open Sans" w:cs="Open Sans"/>
          <w:b/>
          <w:bCs/>
          <w:color w:val="1B1B1B"/>
          <w:kern w:val="36"/>
          <w:sz w:val="48"/>
          <w:szCs w:val="48"/>
          <w:lang w:eastAsia="cs-CZ"/>
        </w:rPr>
        <w:t>Outback</w:t>
      </w:r>
      <w:proofErr w:type="spellEnd"/>
    </w:p>
    <w:p w14:paraId="55236ECC" w14:textId="77777777" w:rsid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cs-CZ"/>
        </w:rPr>
      </w:pPr>
    </w:p>
    <w:p w14:paraId="0AB45347" w14:textId="37DA84BF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cs-CZ"/>
        </w:rPr>
        <w:t>Také v češtině dnes docela často užívané slovo „trend-</w:t>
      </w:r>
      <w:proofErr w:type="spellStart"/>
      <w:r w:rsidRPr="00876B51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cs-CZ"/>
        </w:rPr>
        <w:t>setter</w:t>
      </w:r>
      <w:proofErr w:type="spellEnd"/>
      <w:r w:rsidRPr="00876B51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cs-CZ"/>
        </w:rPr>
        <w:t xml:space="preserve">“ vyjadřuje někoho, kdo vymyslel zcela nový trend. Pokud by tento výraz existoval v polovině devadesátých let, Subaru </w:t>
      </w:r>
      <w:proofErr w:type="spellStart"/>
      <w:r w:rsidRPr="00876B51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cs-CZ"/>
        </w:rPr>
        <w:t xml:space="preserve"> by ho dokonale vystihovalo.</w:t>
      </w:r>
    </w:p>
    <w:p w14:paraId="42EB713B" w14:textId="77777777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Existovaly doby, kdy výrazy typu crossover nebo SUV byly široké veřejnosti zcela cizí. To se začalo pomalu měnit s tím, jak různé automobilky nabíraly odvahu nabídnout zákazníkům něco nového. Třeba když Land Rover poslal na trh první generaci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Range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Roveru nebo když Subaru všechny překvapilo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off-roadově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laděným kombi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Legacy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. Shodou okolností oba zmíněné modely oslavily v roce 2020 kulatá výročí. U 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Range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Roveru to bylo 50 let, u 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Outbacku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polovina. Z evropského pohledu ale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slaví 25. narozeniny až letos, protože na starý kontinent dorazil s ročním zpožděním.</w:t>
      </w:r>
    </w:p>
    <w:p w14:paraId="5D63C53D" w14:textId="77777777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Jméno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se poprvé objevilo v roce 1994, když Subaru na New York Auto Show představilo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oplastované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Legacy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druhé generace.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tehdy představoval pouze výbavu s jiným interiérem a dvoubarevnou karoserií. V následujícím roce už ale dorazilo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Legacy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coby samostatný model tak, jak ho známe dodnes – tedy s upraveným podvozkem, zvýšenou světlou výškou (190 mm) a zvýšenou střechou. Automobilka svou novinku prezentovala pod heslem „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The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World’s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First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Sport Utility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Wagon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“. S propagací výrazně pomohl také australský herec Paul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Hogan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, známý z filmu Krokodýl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Dundee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.</w:t>
      </w:r>
    </w:p>
    <w:p w14:paraId="121BD652" w14:textId="77777777" w:rsidR="009A7BF5" w:rsidRDefault="009A7BF5" w:rsidP="009A7BF5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První generace Subaru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, stejně jako generace následující, sdílela techniku s typem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Legacy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. Zákazníci si mohli vybrat mezi menším plochým čtyřválcem o objemu 2,2 l (94 kW/128 k) a výkonnější dva-pětkou (110 kW/150 k). Pohon všech kol byl řešený mezinápravovým diferenciálem pracujícím v poměru 50/50. Verze se samočinnou převodovkou využívaly elektronicky řízenou mezinápravovou spojku. Evropské ceníky znaly pouze silnější provedení se samočinným řazením.</w:t>
      </w:r>
    </w:p>
    <w:p w14:paraId="5792A913" w14:textId="654447FD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0269BE91" wp14:editId="782975AA">
            <wp:extent cx="2732792" cy="1571356"/>
            <wp:effectExtent l="0" t="0" r="0" b="0"/>
            <wp:docPr id="27" name="Obrázek 2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46" cy="159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1971364C" wp14:editId="1E75C364">
            <wp:extent cx="2716640" cy="1562068"/>
            <wp:effectExtent l="0" t="0" r="7620" b="635"/>
            <wp:docPr id="26" name="Obrázek 2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53" cy="16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C5D3" w14:textId="31D48693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2625D9B9" wp14:editId="151E5C96">
            <wp:extent cx="2682462" cy="1542415"/>
            <wp:effectExtent l="0" t="0" r="3810" b="635"/>
            <wp:docPr id="25" name="Obrázek 2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85" cy="15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0F31E502" wp14:editId="082B2B10">
            <wp:extent cx="2696817" cy="1550670"/>
            <wp:effectExtent l="0" t="0" r="8890" b="0"/>
            <wp:docPr id="24" name="Obrázek 2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43" cy="159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F0D29" w14:textId="656277B1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2E114B73" w14:textId="2D44752A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6BDBEC9F" wp14:editId="1CC283D7">
            <wp:extent cx="2716392" cy="1561925"/>
            <wp:effectExtent l="0" t="0" r="8255" b="635"/>
            <wp:docPr id="23" name="Obrázek 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63" cy="16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6F1172BD" wp14:editId="51099C96">
            <wp:extent cx="2716696" cy="1562100"/>
            <wp:effectExtent l="0" t="0" r="7620" b="0"/>
            <wp:docPr id="22" name="Obrázek 2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47" cy="158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6AA7" w14:textId="77777777" w:rsid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4C6BB963" w14:textId="77777777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Druhá generace následovala v roce 1998. Nová platforma přinesla kromě větší robustnosti také třílitrový šestiválec H6 (156 kW/212 k), který se prodával i na českém trhu. Zajímavou novinkou společnou s 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Legacy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byl příchod systému VDC spojujícího kontrolu trakce a stability do jednoho systému. Ten dokázal detekovat prokluzující kolo, a to následně přibrzdit. Dostupný byl pouze pro verze se samočinnou převodovkou. Pětistupňová manuální převodovka naopak nabídla redukovaný převod, takzvaný „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Dual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Range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“.</w:t>
      </w:r>
    </w:p>
    <w:p w14:paraId="5BB3E8D9" w14:textId="7E5BFDBC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0B6BBAEB" wp14:editId="64476E5E">
            <wp:extent cx="2667000" cy="1533525"/>
            <wp:effectExtent l="0" t="0" r="0" b="9525"/>
            <wp:docPr id="21" name="Obrázek 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593" cy="154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F5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</w:t>
      </w:r>
      <w:r w:rsidR="009A7BF5"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59D79694" wp14:editId="3EB8824F">
            <wp:extent cx="2683068" cy="1542764"/>
            <wp:effectExtent l="0" t="0" r="3175" b="635"/>
            <wp:docPr id="20" name="Obrázek 2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063" cy="15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BD87" w14:textId="7B97BD62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248B9EB7" w14:textId="3EE21A45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5E9A1E1B" wp14:editId="75FF8B90">
            <wp:extent cx="2650435" cy="1524000"/>
            <wp:effectExtent l="0" t="0" r="0" b="0"/>
            <wp:docPr id="19" name="Obrázek 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84" cy="15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F5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 </w:t>
      </w:r>
      <w:r w:rsidR="009A7BF5"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6B7E38FE" wp14:editId="3E391EBD">
            <wp:extent cx="2657475" cy="1528049"/>
            <wp:effectExtent l="0" t="0" r="0" b="0"/>
            <wp:docPr id="18" name="Obrázek 1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8841" cy="15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48E93" w14:textId="2275E503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76842CA9" w14:textId="7B1509D8" w:rsidR="00876B51" w:rsidRPr="00876B51" w:rsidRDefault="00876B51" w:rsidP="009A7BF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655CDABB" wp14:editId="221C6E66">
            <wp:extent cx="2650214" cy="1523872"/>
            <wp:effectExtent l="0" t="0" r="0" b="635"/>
            <wp:docPr id="17" name="Obrázek 1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63" cy="153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BF5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36402568" wp14:editId="5EAA12EE">
            <wp:extent cx="2650435" cy="1524000"/>
            <wp:effectExtent l="0" t="0" r="0" b="0"/>
            <wp:docPr id="16" name="Obrázek 1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72" cy="153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72EE" w14:textId="77777777" w:rsidR="009A7BF5" w:rsidRDefault="009A7BF5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47B248B4" w14:textId="71278EFD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V roce 2000 se pak z 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Outbacku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definitivně stal samostatný model, když Subaru vypustilo z názvu označení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Legacy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. Mimochodem, ve druhé generaci automobilka rozšířila nabídku o další varianty. Američtí zákazníci si mohli pořídit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také s karoserií sedan a od roku 2002 se do prodeje dostal dokonce odvozený stylový pick-up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Baja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. Ten mohl být osazen i přeplňovaným čtyřválcem o objemu 2,5 l.</w:t>
      </w:r>
    </w:p>
    <w:p w14:paraId="1D9BFE3B" w14:textId="77777777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Třetí vydání Subaru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přišlo v roce 2003. Design se mimořádně povedl, oproti předchůdcům byl výrazně sportovnější.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si samozřejmě ponechal charakteristické prvky jako rozsáhlé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oplastování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karoserie nebo velké mlhové světlomety v předním nárazníku. Šestiválcový třílitrový motor posílil na 180 kW (245 k), evropští zájemci mohli sáhnout také po slabší verzi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2.5 o výkonu 121 kW (165 k).</w:t>
      </w:r>
    </w:p>
    <w:p w14:paraId="0474D2F0" w14:textId="792F7132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55E7C8B8" wp14:editId="7F1A00F0">
            <wp:extent cx="2650435" cy="1524000"/>
            <wp:effectExtent l="0" t="0" r="0" b="0"/>
            <wp:docPr id="15" name="Obrázek 1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18" cy="153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E6B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t xml:space="preserve">       </w:t>
      </w:r>
      <w:r w:rsidR="00924E6B"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5FD456C2" wp14:editId="70114B35">
            <wp:extent cx="2650435" cy="1524000"/>
            <wp:effectExtent l="0" t="0" r="0" b="0"/>
            <wp:docPr id="14" name="Obrázek 1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17" cy="15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E8D4" w14:textId="50F7B8BF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24C2CDA1" w14:textId="1950DE33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419C5998" wp14:editId="190D3640">
            <wp:extent cx="2638425" cy="1517094"/>
            <wp:effectExtent l="0" t="0" r="0" b="6985"/>
            <wp:docPr id="13" name="Obrázek 1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033" cy="15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E6B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2625E606" wp14:editId="7211104F">
            <wp:extent cx="2633870" cy="1514475"/>
            <wp:effectExtent l="0" t="0" r="0" b="0"/>
            <wp:docPr id="12" name="Obrázek 1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19" cy="153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38730" w14:textId="7B424898" w:rsidR="00876B51" w:rsidRPr="00876B51" w:rsidRDefault="00876B51" w:rsidP="00924E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16F64ACD" wp14:editId="00A378AD">
            <wp:extent cx="2534037" cy="1457071"/>
            <wp:effectExtent l="0" t="0" r="0" b="0"/>
            <wp:docPr id="11" name="Obrázek 1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42" cy="14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E6B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01A04D0E" wp14:editId="14006F6F">
            <wp:extent cx="2517913" cy="1447800"/>
            <wp:effectExtent l="0" t="0" r="0" b="0"/>
            <wp:docPr id="10" name="Obrázek 1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28" cy="149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6C15C" w14:textId="77777777" w:rsidR="00924E6B" w:rsidRDefault="00924E6B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3536032C" w14:textId="38E7FA36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Kromě kombi se pro Ameriku stále vyráběl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Sedan, ale zákazníci o něj příliš nestáli. S příchodem modelového roku 2008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tříprostorová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karoserie nabídku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Outbacku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definitivně opustila. Ještě před tím, v roce 2005, dorazilo zajímavé provedení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XT s přeplňovaným boxerem o objemu 2,5 litru. Pro evropský trh byl ale důležitější rok 2008, kdy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(stejně jako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Legacy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) dostal přeplňovaný vznětový motor typu boxer. Ve stejném roce přichází do nabídky rovněž systém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EyeSight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, ten ovšem startuje v Japonsku.</w:t>
      </w:r>
    </w:p>
    <w:p w14:paraId="24AC33F2" w14:textId="6636295E" w:rsidR="00924E6B" w:rsidRDefault="00924E6B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35BCA5E" wp14:editId="6BE2AB37">
            <wp:simplePos x="0" y="0"/>
            <wp:positionH relativeFrom="margin">
              <wp:align>left</wp:align>
            </wp:positionH>
            <wp:positionV relativeFrom="paragraph">
              <wp:posOffset>1236980</wp:posOffset>
            </wp:positionV>
            <wp:extent cx="26162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90" y="21327"/>
                <wp:lineTo x="21390" y="0"/>
                <wp:lineTo x="0" y="0"/>
              </wp:wrapPolygon>
            </wp:wrapTight>
            <wp:docPr id="7" name="Obrázek 7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46" cy="15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B51"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Čtvrtá generace se na českém trhu začala prodávat přesně 8. října 2009 s motory 2.5i (123 kW/168 k), 2.0D (110 kW/150 k) a především se šestiválcem 3.6R o výkonu 191 kW (260 k). Takové provedení zvládlo sprint na 100 km/h za 7,5 s a maximálně jelo 230 km/h. Od roku 2013 bylo možné zkombinovat vznětový motor s </w:t>
      </w:r>
      <w:proofErr w:type="spellStart"/>
      <w:r w:rsidR="00876B51"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bezestupňovou</w:t>
      </w:r>
      <w:proofErr w:type="spellEnd"/>
      <w:r w:rsidR="00876B51"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převodovkou </w:t>
      </w:r>
      <w:proofErr w:type="spellStart"/>
      <w:r w:rsidR="00876B51"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Lineartronic</w:t>
      </w:r>
      <w:proofErr w:type="spellEnd"/>
      <w:r w:rsidR="00876B51"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. </w:t>
      </w:r>
    </w:p>
    <w:p w14:paraId="3C1400DC" w14:textId="61176466" w:rsidR="00924E6B" w:rsidRDefault="00924E6B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7ABCA9D0" wp14:editId="32CB8BF8">
            <wp:extent cx="2600739" cy="1495425"/>
            <wp:effectExtent l="0" t="0" r="9525" b="0"/>
            <wp:docPr id="8" name="Obrázek 8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44" cy="150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59842" w14:textId="77777777" w:rsidR="00924E6B" w:rsidRDefault="00924E6B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74247471" w14:textId="71CF3FF5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Generace pátá přijela do Evropy šest let po svém předchůdci a přivezla s sebou kromě jiného o 67 % tužší karoserii, režim jízdy v terénu X-Mode, mnohem hodnotnější interiér, kompletně přepracované motory včetně „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turbodieselu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“ a více asistenčních systémů v čele se systémem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EyeSight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. Šestiválec už bohužel zůstal Evropě zapovězen.</w:t>
      </w:r>
    </w:p>
    <w:p w14:paraId="09243F6F" w14:textId="289C1927" w:rsidR="00876B51" w:rsidRPr="00876B51" w:rsidRDefault="00924E6B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</w:t>
      </w:r>
      <w:r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t xml:space="preserve">   </w:t>
      </w:r>
    </w:p>
    <w:p w14:paraId="42BCE760" w14:textId="1E8011FB" w:rsidR="00876B51" w:rsidRP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33645994" w14:textId="24173013" w:rsidR="00876B51" w:rsidRPr="00876B51" w:rsidRDefault="00876B51" w:rsidP="00924E6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 wp14:anchorId="26038D26" wp14:editId="4283090C">
            <wp:extent cx="2749826" cy="1581150"/>
            <wp:effectExtent l="0" t="0" r="0" b="0"/>
            <wp:docPr id="5" name="Obrázek 5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92" cy="16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E6B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714AA28C" wp14:editId="2C71A2D2">
            <wp:extent cx="2766391" cy="1590675"/>
            <wp:effectExtent l="0" t="0" r="0" b="0"/>
            <wp:docPr id="4" name="Obrázek 4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983" cy="160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5B3DF" w14:textId="77777777" w:rsidR="00924E6B" w:rsidRDefault="00924E6B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2BCD4E72" w14:textId="77DEBD6B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Nejnovější, v pořadí už šestý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si odbyl světovou premiéru v roce 2019 a na evropské trhy dorazí letos. Na rozdíl od první generace, která udala směr, už bude mít podstatně rozsáhlejší konkurenci, protože na trend terénních kombi, založený v roce 1995 značkou Subaru, postupně naskočily téměř všechny automobilky. Subaru s tímto vozem tehdy stanovilo nový trend.</w:t>
      </w:r>
    </w:p>
    <w:p w14:paraId="7E47306B" w14:textId="77777777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Když už jsme zmínili pick-up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Baja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a 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Sedan, nemůžeme opomenout ani malého sourozence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Outbacku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. V minulosti totiž existovalo také menší „terénní“ kombi vycházející z 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Imprezy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. V Japonsku nesl takový vůz označení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Gravel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EX (od slova „express“) a pod kapotou měl přeplňovaný dvoulitr z verze WRX. Kromě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oplastované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karoserie a rámu vpředu došlo i na rezervní kolo umístěné na zadních dveřích.</w:t>
      </w:r>
    </w:p>
    <w:p w14:paraId="49F2EC4E" w14:textId="4B65EBD8" w:rsidR="00876B51" w:rsidRDefault="00876B51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574ADA75" wp14:editId="0FC7F23B">
            <wp:extent cx="2765285" cy="1590040"/>
            <wp:effectExtent l="0" t="0" r="0" b="0"/>
            <wp:docPr id="3" name="Obrázek 3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0" cy="161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E6B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</w:t>
      </w:r>
      <w:r w:rsidR="00924E6B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t xml:space="preserve">    </w:t>
      </w: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6DAB8F3F" wp14:editId="16E9AAE3">
            <wp:extent cx="2762250" cy="1588294"/>
            <wp:effectExtent l="0" t="0" r="0" b="0"/>
            <wp:docPr id="2" name="Obrázek 2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9" cy="15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9AC2" w14:textId="77777777" w:rsidR="00924E6B" w:rsidRPr="00876B51" w:rsidRDefault="00924E6B" w:rsidP="00876B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</w:p>
    <w:p w14:paraId="07604581" w14:textId="7883A3C6" w:rsidR="00876B51" w:rsidRPr="00876B51" w:rsidRDefault="00876B51" w:rsidP="00876B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noProof/>
          <w:color w:val="0000FF"/>
          <w:sz w:val="24"/>
          <w:szCs w:val="24"/>
          <w:lang w:eastAsia="cs-CZ"/>
        </w:rPr>
        <w:drawing>
          <wp:inline distT="0" distB="0" distL="0" distR="0" wp14:anchorId="69A34E6F" wp14:editId="76E507B7">
            <wp:extent cx="2766391" cy="1590675"/>
            <wp:effectExtent l="0" t="0" r="0" b="0"/>
            <wp:docPr id="1" name="Obrázek 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04" cy="160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71F30" w14:textId="77777777" w:rsidR="00876B51" w:rsidRPr="00876B51" w:rsidRDefault="00876B51" w:rsidP="00876B5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</w:pP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Podobný model se dostal s označením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Sport na americký trh, ovšem už jen s osmnáctistovkou pod kapotou.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Gravel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EX generační výměnu nepřežilo,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Outback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Sport se naproti tomu nabízel na severoamerickém trhu také ve druhé </w:t>
      </w:r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lastRenderedPageBreak/>
        <w:t xml:space="preserve">generaci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Imprezy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. Na tuto verzi později navázala </w:t>
      </w:r>
      <w:proofErr w:type="spellStart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>Impreza</w:t>
      </w:r>
      <w:proofErr w:type="spellEnd"/>
      <w:r w:rsidRPr="00876B51">
        <w:rPr>
          <w:rFonts w:ascii="Open Sans" w:eastAsia="Times New Roman" w:hAnsi="Open Sans" w:cs="Open Sans"/>
          <w:color w:val="1B1B1B"/>
          <w:sz w:val="24"/>
          <w:szCs w:val="24"/>
          <w:lang w:eastAsia="cs-CZ"/>
        </w:rPr>
        <w:t xml:space="preserve"> XV prodávaná i v Evropě, z níž se vytvořilo současné Subaru XV.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1799"/>
        <w:gridCol w:w="40"/>
        <w:gridCol w:w="1725"/>
        <w:gridCol w:w="1844"/>
        <w:gridCol w:w="1947"/>
      </w:tblGrid>
      <w:tr w:rsidR="00876B51" w:rsidRPr="00876B51" w14:paraId="5270BDCA" w14:textId="77777777" w:rsidTr="00876B51">
        <w:trPr>
          <w:cantSplit/>
          <w:trHeight w:val="415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0542631" w14:textId="77777777" w:rsidR="00876B51" w:rsidRPr="00876B51" w:rsidRDefault="00876B51" w:rsidP="00876B51">
            <w:pPr>
              <w:spacing w:after="0" w:line="240" w:lineRule="auto"/>
              <w:rPr>
                <w:rFonts w:ascii="Open Sans" w:eastAsia="Times New Roman" w:hAnsi="Open Sans" w:cs="Open Sans"/>
                <w:color w:val="1B1B1B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749F0A8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Délka (mm)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22E68E2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AA2221E" w14:textId="628DBA3C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Šířka (mm)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9039E81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Výška (mm)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AE4B141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Rozvor (mm)</w:t>
            </w:r>
          </w:p>
        </w:tc>
      </w:tr>
      <w:tr w:rsidR="00876B51" w:rsidRPr="00876B51" w14:paraId="7CE847DF" w14:textId="77777777" w:rsidTr="00876B51">
        <w:trPr>
          <w:cantSplit/>
          <w:trHeight w:val="557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A2DCA8B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 generace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9C0205E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1FB1F2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AA6A93D" w14:textId="797AA52D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6B76300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45DC8AC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2630</w:t>
            </w:r>
          </w:p>
        </w:tc>
      </w:tr>
      <w:tr w:rsidR="00876B51" w:rsidRPr="00876B51" w14:paraId="713457A0" w14:textId="77777777" w:rsidTr="00876B51">
        <w:trPr>
          <w:cantSplit/>
          <w:trHeight w:val="401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61A2A99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 generace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4E121B2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0539808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BD69C15" w14:textId="67FA81D4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32E931D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CCEB64D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2650</w:t>
            </w:r>
          </w:p>
        </w:tc>
      </w:tr>
      <w:tr w:rsidR="00876B51" w:rsidRPr="00876B51" w14:paraId="528A3E11" w14:textId="77777777" w:rsidTr="00876B51">
        <w:trPr>
          <w:cantSplit/>
          <w:trHeight w:val="543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012830D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 generace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13A28D1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0A201B6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0F3CC261" w14:textId="71FC219A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8F9CC4C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21F36E9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2670</w:t>
            </w:r>
          </w:p>
        </w:tc>
      </w:tr>
      <w:tr w:rsidR="00876B51" w:rsidRPr="00876B51" w14:paraId="7C629B49" w14:textId="77777777" w:rsidTr="00876B51">
        <w:trPr>
          <w:cantSplit/>
          <w:trHeight w:val="529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C7BFF93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 generace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5C08655F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870BC2E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925C57A" w14:textId="12288B32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915BC9A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1F12D45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2745</w:t>
            </w:r>
          </w:p>
        </w:tc>
      </w:tr>
      <w:tr w:rsidR="00876B51" w:rsidRPr="00876B51" w14:paraId="026322AE" w14:textId="77777777" w:rsidTr="00876B51">
        <w:trPr>
          <w:cantSplit/>
          <w:trHeight w:val="567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6DEC3CF2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 generace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AEB12D1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D7004CE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473D9BFD" w14:textId="57F00155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1961E5E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1717AD61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2745</w:t>
            </w:r>
          </w:p>
        </w:tc>
      </w:tr>
      <w:tr w:rsidR="00876B51" w:rsidRPr="00876B51" w14:paraId="26C4BFF6" w14:textId="77777777" w:rsidTr="00876B51">
        <w:trPr>
          <w:cantSplit/>
          <w:trHeight w:val="567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03628C8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 generace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8C743A5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A80F6A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7F7AEA41" w14:textId="3D750E08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2979AD3C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14:paraId="3BF7A6BF" w14:textId="77777777" w:rsidR="00876B51" w:rsidRPr="00876B51" w:rsidRDefault="00876B51" w:rsidP="00876B5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76B5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2745</w:t>
            </w:r>
          </w:p>
        </w:tc>
      </w:tr>
    </w:tbl>
    <w:p w14:paraId="2C1F320A" w14:textId="77777777" w:rsidR="00924E6B" w:rsidRDefault="00924E6B">
      <w:pPr>
        <w:rPr>
          <w:rStyle w:val="Zdraznn"/>
          <w:rFonts w:ascii="Open Sans" w:hAnsi="Open Sans" w:cs="Open Sans"/>
          <w:color w:val="1B1B1B"/>
          <w:shd w:val="clear" w:color="auto" w:fill="FFFFFF"/>
        </w:rPr>
      </w:pPr>
    </w:p>
    <w:p w14:paraId="5704A5C4" w14:textId="56A2518B" w:rsidR="009A1D3C" w:rsidRDefault="00876B51">
      <w:r>
        <w:rPr>
          <w:rStyle w:val="Zdraznn"/>
          <w:rFonts w:ascii="Open Sans" w:hAnsi="Open Sans" w:cs="Open Sans"/>
          <w:color w:val="1B1B1B"/>
          <w:shd w:val="clear" w:color="auto" w:fill="FFFFFF"/>
        </w:rPr>
        <w:t>Autor: Lukáš Dittrich</w:t>
      </w:r>
    </w:p>
    <w:sectPr w:rsidR="009A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0CD7" w14:textId="77777777" w:rsidR="00876B51" w:rsidRDefault="00876B51" w:rsidP="00876B51">
      <w:pPr>
        <w:spacing w:after="0" w:line="240" w:lineRule="auto"/>
      </w:pPr>
      <w:r>
        <w:separator/>
      </w:r>
    </w:p>
  </w:endnote>
  <w:endnote w:type="continuationSeparator" w:id="0">
    <w:p w14:paraId="0A4B40AB" w14:textId="77777777" w:rsidR="00876B51" w:rsidRDefault="00876B51" w:rsidP="0087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1B6E" w14:textId="77777777" w:rsidR="00876B51" w:rsidRDefault="00876B51" w:rsidP="00876B51">
      <w:pPr>
        <w:spacing w:after="0" w:line="240" w:lineRule="auto"/>
      </w:pPr>
      <w:r>
        <w:separator/>
      </w:r>
    </w:p>
  </w:footnote>
  <w:footnote w:type="continuationSeparator" w:id="0">
    <w:p w14:paraId="4AE7EDAB" w14:textId="77777777" w:rsidR="00876B51" w:rsidRDefault="00876B51" w:rsidP="00876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51"/>
    <w:rsid w:val="00876B51"/>
    <w:rsid w:val="00924E6B"/>
    <w:rsid w:val="009A1D3C"/>
    <w:rsid w:val="009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A0D7"/>
  <w15:chartTrackingRefBased/>
  <w15:docId w15:val="{A4130ECB-755E-4C97-A617-04B684B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B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6B51"/>
    <w:rPr>
      <w:b/>
      <w:bCs/>
    </w:rPr>
  </w:style>
  <w:style w:type="character" w:styleId="Zdraznn">
    <w:name w:val="Emphasis"/>
    <w:basedOn w:val="Standardnpsmoodstavce"/>
    <w:uiPriority w:val="20"/>
    <w:qFormat/>
    <w:rsid w:val="00876B5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87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B51"/>
  </w:style>
  <w:style w:type="paragraph" w:styleId="Zpat">
    <w:name w:val="footer"/>
    <w:basedOn w:val="Normln"/>
    <w:link w:val="ZpatChar"/>
    <w:uiPriority w:val="99"/>
    <w:unhideWhenUsed/>
    <w:rsid w:val="0087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7730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3297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7556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7204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8816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zazij.subaru.cz/wp-content/uploads/4-1.jpg" TargetMode="External"/><Relationship Id="rId26" Type="http://schemas.openxmlformats.org/officeDocument/2006/relationships/hyperlink" Target="https://zazij.subaru.cz/wp-content/uploads/3-1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zazij.subaru.cz/wp-content/uploads/1-2.jpg" TargetMode="External"/><Relationship Id="rId42" Type="http://schemas.openxmlformats.org/officeDocument/2006/relationships/hyperlink" Target="https://zazij.subaru.cz/wp-content/uploads/3-3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zazij.subaru.cz/wp-content/uploads/1-4.jpg" TargetMode="External"/><Relationship Id="rId55" Type="http://schemas.openxmlformats.org/officeDocument/2006/relationships/image" Target="media/image25.jpeg"/><Relationship Id="rId7" Type="http://schemas.openxmlformats.org/officeDocument/2006/relationships/image" Target="media/image1.jpeg"/><Relationship Id="rId12" Type="http://schemas.openxmlformats.org/officeDocument/2006/relationships/hyperlink" Target="https://zazij.subaru.cz/wp-content/uploads/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zazij.subaru.cz/wp-content/uploads/3-2.jpg" TargetMode="External"/><Relationship Id="rId46" Type="http://schemas.openxmlformats.org/officeDocument/2006/relationships/hyperlink" Target="https://zazij.subaru.cz/wp-content/uploads/5.jpe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zij.subaru.cz/wp-content/uploads/1.jpg" TargetMode="External"/><Relationship Id="rId20" Type="http://schemas.openxmlformats.org/officeDocument/2006/relationships/hyperlink" Target="https://zazij.subaru.cz/wp-content/uploads/1-1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zazij.subaru.cz/wp-content/uploads/3-4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zazij.subaru.cz/wp-content/uploads/3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zazij.subaru.cz/wp-content/uploads/2-1.jpg" TargetMode="External"/><Relationship Id="rId32" Type="http://schemas.openxmlformats.org/officeDocument/2006/relationships/hyperlink" Target="https://zazij.subaru.cz/wp-content/uploads/2-2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zazij.subaru.cz/wp-content/uploads/5-2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zazij.subaru.cz/wp-content/uploads/6-1.jpg" TargetMode="External"/><Relationship Id="rId36" Type="http://schemas.openxmlformats.org/officeDocument/2006/relationships/hyperlink" Target="https://zazij.subaru.cz/wp-content/uploads/4-2.jpg" TargetMode="External"/><Relationship Id="rId49" Type="http://schemas.openxmlformats.org/officeDocument/2006/relationships/image" Target="media/image22.jpeg"/><Relationship Id="rId57" Type="http://schemas.openxmlformats.org/officeDocument/2006/relationships/theme" Target="theme/theme1.xml"/><Relationship Id="rId10" Type="http://schemas.openxmlformats.org/officeDocument/2006/relationships/hyperlink" Target="https://zazij.subaru.cz/wp-content/uploads/2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zazij.subaru.cz/wp-content/uploads/2-3.jpg" TargetMode="External"/><Relationship Id="rId52" Type="http://schemas.openxmlformats.org/officeDocument/2006/relationships/hyperlink" Target="https://zazij.subaru.cz/wp-content/uploads/2-4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zazij.subaru.cz/wp-content/uploads/5.jpg" TargetMode="External"/><Relationship Id="rId22" Type="http://schemas.openxmlformats.org/officeDocument/2006/relationships/hyperlink" Target="https://zazij.subaru.cz/wp-content/uploads/5-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zazij.subaru.cz/wp-content/uploads/6-2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zazij.subaru.cz/wp-content/uploads/6.jpe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zazij.subaru.cz/wp-content/uploads/6.jpg" TargetMode="External"/><Relationship Id="rId51" Type="http://schemas.openxmlformats.org/officeDocument/2006/relationships/image" Target="media/image2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Zikmund, Zdenek (Subaru CZ)</dc:creator>
  <cp:keywords/>
  <dc:description/>
  <cp:lastModifiedBy>Zikmund, Zdenek (Subaru CZ)</cp:lastModifiedBy>
  <cp:revision>2</cp:revision>
  <dcterms:created xsi:type="dcterms:W3CDTF">2021-04-29T15:34:00Z</dcterms:created>
  <dcterms:modified xsi:type="dcterms:W3CDTF">2021-04-29T15:57:00Z</dcterms:modified>
</cp:coreProperties>
</file>